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hd w:fill="ffffff" w:val="clear"/>
        <w:spacing w:before="0" w:lineRule="auto"/>
        <w:rPr>
          <w:rFonts w:ascii="Times New Roman" w:cs="Times New Roman" w:eastAsia="Times New Roman" w:hAnsi="Times New Roman"/>
          <w:b w:val="1"/>
          <w:bCs w:val="1"/>
          <w:color w:val="ff0000"/>
          <w:sz w:val="28"/>
          <w:szCs w:val="28"/>
        </w:rPr>
      </w:pPr>
      <w:r w:rsidDel="00000000" w:rsidR="00000000" w:rsidRPr="00000000">
        <w:rPr>
          <w:rFonts w:ascii="Times New Roman" w:cs="Times New Roman" w:eastAsia="Times New Roman" w:hAnsi="Times New Roman"/>
          <w:b w:val="1"/>
          <w:bCs w:val="1"/>
          <w:color w:val="0070c0"/>
          <w:sz w:val="28"/>
          <w:szCs w:val="28"/>
          <w:rtl w:val="0"/>
        </w:rPr>
        <w:t xml:space="preserve">Minh chứng đánh giá chuẩn nghề nghiệp giáo viên </w:t>
      </w:r>
      <w:r w:rsidDel="00000000" w:rsidR="00000000" w:rsidRPr="00000000">
        <w:rPr>
          <w:rFonts w:ascii="Times New Roman" w:cs="Times New Roman" w:eastAsia="Times New Roman" w:hAnsi="Times New Roman"/>
          <w:b w:val="1"/>
          <w:bCs w:val="1"/>
          <w:color w:val="ff0000"/>
          <w:sz w:val="28"/>
          <w:szCs w:val="28"/>
          <w:rtl w:val="0"/>
        </w:rPr>
        <w:t xml:space="preserve">THPT</w:t>
      </w:r>
    </w:p>
    <w:p w:rsidR="00000000" w:rsidDel="00000000" w:rsidP="00000000" w:rsidRDefault="00000000" w:rsidRPr="00000000" w14:paraId="00000002">
      <w:pPr>
        <w:rPr/>
      </w:pPr>
      <w:r w:rsidDel="00000000" w:rsidR="00000000" w:rsidRPr="00000000">
        <w:rPr>
          <w:rtl w:val="0"/>
        </w:rPr>
      </w:r>
    </w:p>
    <w:tbl>
      <w:tblPr>
        <w:tblStyle w:val="Table1"/>
        <w:tblW w:w="8460.0" w:type="dxa"/>
        <w:jc w:val="left"/>
        <w:tblLayout w:type="fixed"/>
        <w:tblLook w:val="0400"/>
      </w:tblPr>
      <w:tblGrid>
        <w:gridCol w:w="748"/>
        <w:gridCol w:w="1427"/>
        <w:gridCol w:w="310"/>
        <w:gridCol w:w="310"/>
        <w:gridCol w:w="321"/>
        <w:gridCol w:w="710"/>
        <w:gridCol w:w="4634"/>
        <w:tblGridChange w:id="0">
          <w:tblGrid>
            <w:gridCol w:w="748"/>
            <w:gridCol w:w="1427"/>
            <w:gridCol w:w="310"/>
            <w:gridCol w:w="310"/>
            <w:gridCol w:w="321"/>
            <w:gridCol w:w="710"/>
            <w:gridCol w:w="4634"/>
          </w:tblGrid>
        </w:tblGridChange>
      </w:tblGrid>
      <w:tr>
        <w:trPr>
          <w:cantSplit w:val="0"/>
          <w:tblHeader w:val="0"/>
        </w:trPr>
        <w:tc>
          <w:tcPr>
            <w:gridSpan w:val="7"/>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0000"/>
                <w:sz w:val="28"/>
                <w:szCs w:val="28"/>
                <w:u w:val="none"/>
                <w:shd w:fill="auto" w:val="clear"/>
                <w:vertAlign w:val="baseline"/>
                <w:rtl w:val="0"/>
              </w:rPr>
              <w:t xml:space="preserve">Tiêu chuẩn 1: Phẩm chất chính trị, đạo đức, lối sống</w:t>
            </w:r>
            <w:r w:rsidDel="00000000" w:rsidR="00000000" w:rsidRPr="00000000">
              <w:rPr>
                <w:rtl w:val="0"/>
              </w:rPr>
            </w:r>
          </w:p>
        </w:tc>
      </w:tr>
      <w:tr>
        <w:trPr>
          <w:cantSplit w:val="0"/>
          <w:tblHeader w:val="0"/>
        </w:trPr>
        <w:tc>
          <w:tcPr>
            <w:gridSpan w:val="2"/>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Tiêu chí</w:t>
            </w: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Mức điểm</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Minh chứng</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Tiêu chí</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Tên tiêu chí</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3</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Phẩm chất chính trị</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Hồ sơ thi đua nhà trường</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MC2: Hồ sơ kiểm tra đánh giá giáo viên</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MC3: biên bản góp ý giáo viên của tập thể lớp</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Giáo dục đạo đức lối sống vận động HS thực hiện theo đường lối chính sách của Đảng, chính sách, pháp luật của nhà nước(ATGT, ANTT…), chấp hành mọi nội quy, quy định của nhà trường.</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tham gia đầy đủ các buổi tuyên truyền vận động: ATGT, học tập và làm theo tấm gương đạo đức HCM….</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Đạo đức nghề nghiệp</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Hồ sơ thi đua nhà trường</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MC2: Hồ sơ kiểm tra đánh giá giáo viên</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MC3: biên bản góp ý giáo viên của tập thể lớp</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3</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Ứng xử với học sinh</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MC3: Biên bản góp ý giáo viên của tập thể lớp MCK:</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Hồ sơ lý lịch HS</w:t>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Đơn xin miễn giảm các khoản cho HS có hoàn cảnh khó khăn.</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Hồ sơ xét học bổng cho HS</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Biên bản sinh hoạt lớp</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Ứng xử với đồng nghiệp</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Hồ sơ thi đua nhà trường</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MC2: Hồ sơ kiểm tra đánh giá giáo viên</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Biên bản sinh hoạt tổ</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Biên bản nhận xét giờ dạy</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Tham gia đầy đủ các buổi họp tổ, họp GVCN, sinh hoạt chi đoàn GV…</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Lối sống, tác phong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Hồ sơ thi đua nhà trường</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MC2: Hồ sơ kiểm tra đánh giá giáo viên</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Trang phục lịch sự, mô phạm</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Tác phong chững chạc</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Đeo thẻ viên chức</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Giáo dục đường lối, lối sống cho HS, đặc biệt đối với lớp chủ nhiệm</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Có kế hoặc chủ nhiệm chi tiết cụ thể</w:t>
            </w:r>
          </w:p>
        </w:tc>
      </w:tr>
      <w:tr>
        <w:trPr>
          <w:cantSplit w:val="0"/>
          <w:tblHeader w:val="0"/>
        </w:trPr>
        <w:tc>
          <w:tcPr>
            <w:gridSpan w:val="7"/>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0000"/>
                <w:sz w:val="28"/>
                <w:szCs w:val="28"/>
                <w:u w:val="none"/>
                <w:shd w:fill="auto" w:val="clear"/>
                <w:vertAlign w:val="baseline"/>
                <w:rtl w:val="0"/>
              </w:rPr>
              <w:t xml:space="preserve">Tiêu chuẩn 2: Năng lực tìm hiểu đối tượng và môi trường giáo dục</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6</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Tìm hiểu đối tượng giáo dục</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Hồ sơ thi đua nhà trường</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MC2: Hồ sơ kiểm tra đánh giá giáo viên</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 Lý lịch HS trong sổ điểm lớn- danh sách số điện thoại của PHHS- sổ theo dõi nề nếp lớp- phiếu liên lạc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7</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Tìm hiểu môi trường giáo dục</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 thu thập thong tin từ học bạ , từ cha mẹ PHHS, cán bộ lớp</w:t>
            </w:r>
          </w:p>
        </w:tc>
      </w:tr>
      <w:tr>
        <w:trPr>
          <w:cantSplit w:val="0"/>
          <w:tblHeader w:val="0"/>
        </w:trPr>
        <w:tc>
          <w:tcPr>
            <w:gridSpan w:val="7"/>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0000"/>
                <w:sz w:val="28"/>
                <w:szCs w:val="28"/>
                <w:u w:val="none"/>
                <w:shd w:fill="auto" w:val="clear"/>
                <w:vertAlign w:val="baseline"/>
                <w:rtl w:val="0"/>
              </w:rPr>
              <w:t xml:space="preserve">Tiêu chuẩn 3: Năng lực dạy học</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8</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Xây dựng kế hoạch dạy học</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bản kế hoạch dạy học, bài tập soạn thể hiện phương pháp dạy học phát huy tích cực của học sinh</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MC2: Các loại sổ sách theo quy định</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MC3: Biên bản đánh giá bài lên lớp của tổ chuyên môn</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MC4: Hồ sơ đánh giá giáo viên</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MC5: Đề kiểm tra , đánh giá , ngân hàng bài tập và câu hỏi bài tập</w:t>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MC6: Bài kiểm tra , bài thi kết quả học tập , rèn luyện của học sinh</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Bảo đảm kiến thức môn học</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MC3: biên bản đánh giá tiết dạy của tổ chuyên môn</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 - Giáo án, đề kiểm tra</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Bảo đảm chương trình môn học</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Giáo án</w:t>
            </w:r>
          </w:p>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MC5: đề kiểm tra</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MC6: Sổ điểm cá nhân</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MC3: Biên bản đánh giá tiết dạy của tổ chuyên môn</w:t>
            </w:r>
          </w:p>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 kế hoạch cá nhân, phiếu báo giảng</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Vận dụng các phương pháp dạy học</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Giáo án</w:t>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MC3: biên bản đánh giá tiết dạy của tổ chuyên môn</w:t>
            </w:r>
          </w:p>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 : phiếu đánh giá tiết dạy khá trở lên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Sử dụng các phương tiện dạy học</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sử dụng tốt các đồ dùng dạy học</w:t>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MC2: Soạn giảng thành thạo giáo án điện tử</w:t>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 sử dụng thành thạo mạng internet tìm kiếm tài liệu thông tin giáo dục….</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13</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Xây dựng môi trường học tập</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MC3: biên bản đánh giá tiết dạy của tổ chuyên môn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Quản lí hồ sơ dạy học</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MC2: Có đủ loại hồ sơ theo quy định</w:t>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 Có máy tính cá nhân, có các file dữ liệu lưu giữ thong tin lý lịch học sinh, điểm, giáo án, kế hoạch cá nhân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Kiểm tra, đánh giá kết quả học tập của học sinh</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MC5: Đề kiểm tra , đánh giá , ngân hàng bài tập và câu hỏi bài tập</w:t>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MC6: Bài kiểm tra, bảng điểm của học sinh</w:t>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 Phiếu liên lạc điện tử , bảng điểm kết quả học tập của học sinh trong năm học có sự thay đổi</w:t>
            </w:r>
          </w:p>
        </w:tc>
      </w:tr>
      <w:tr>
        <w:trPr>
          <w:cantSplit w:val="0"/>
          <w:tblHeader w:val="0"/>
        </w:trPr>
        <w:tc>
          <w:tcPr>
            <w:gridSpan w:val="7"/>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0000"/>
                <w:sz w:val="28"/>
                <w:szCs w:val="28"/>
                <w:u w:val="none"/>
                <w:shd w:fill="auto" w:val="clear"/>
                <w:vertAlign w:val="baseline"/>
                <w:rtl w:val="0"/>
              </w:rPr>
              <w:t xml:space="preserve">Tiêu chuẩn 4: Năng lực giáo dục</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16</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Xây dựng kế hoạch các hoạt động giáo dục</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Bản kế hoạch chủ nhiệm</w:t>
            </w:r>
          </w:p>
          <w:p w:rsidR="00000000" w:rsidDel="00000000" w:rsidP="00000000" w:rsidRDefault="00000000" w:rsidRPr="00000000" w14:paraId="000000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MC2: Các loại hồ sơ, sổ sách chủ nhiệm</w:t>
            </w:r>
          </w:p>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MC3: Hồ sơ kiểm tra đánh giá giáo viên</w:t>
            </w:r>
          </w:p>
          <w:p w:rsidR="00000000" w:rsidDel="00000000" w:rsidP="00000000" w:rsidRDefault="00000000" w:rsidRPr="00000000" w14:paraId="000000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MC4: Sổ chủ nhiệm, biên bản sinh hoạt lớp</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17</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Giáo dục qua môn học</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MC3: Hồ sơ kiểm tra đánh giá giáo viên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18</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Giáo dục qua các hoạt động giáo dục</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Bản kế hoạch chủ nhiệm</w:t>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MC3: Hồ sơ kiểm tra đánh giá giáo viên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19</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Giáo dục qua các hoạt động trong cộng đồng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Bản kế hoạch chủ nhiệm</w:t>
            </w:r>
          </w:p>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MC3: Hồ sơ kiểm tra đánh giá giáo viên</w:t>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 Cho các tổ làm vệ sinh phòng học, trồng cây xanh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20</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Vận dụng các nguyên tắc, phương pháp, hình thức tổ chức giáo dục</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Bản kế hoạch chủ nhiệm</w:t>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MC7: Sổ chủ nhiệm, biên bản sinh hoạt</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Đánh giá kết quả rèn luyện đạo đức của học sinh</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 : Họp xếp loại học sinh toàn trường, bảng xếp loại thi đua</w:t>
            </w:r>
          </w:p>
        </w:tc>
      </w:tr>
      <w:tr>
        <w:trPr>
          <w:cantSplit w:val="0"/>
          <w:tblHeader w:val="0"/>
        </w:trPr>
        <w:tc>
          <w:tcPr>
            <w:gridSpan w:val="7"/>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0000"/>
                <w:sz w:val="28"/>
                <w:szCs w:val="28"/>
                <w:u w:val="none"/>
                <w:shd w:fill="auto" w:val="clear"/>
                <w:vertAlign w:val="baseline"/>
                <w:rtl w:val="0"/>
              </w:rPr>
              <w:t xml:space="preserve">Tiêu chuẩn 5: Năng lực hoạt động chính trị giáo dục</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22</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Phối hợp với gia đìnhhọc sinh và cộng đồng</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MC3: Ý kiến cha mẹ phụ huynh thong qua các cuộc họp CMHS.</w:t>
            </w:r>
          </w:p>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 : Sổ liên lạc điện tử, phiếu liên lạc, danh sách số điện thoại PHHS.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23</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tham gia các hoạt động chính trị, xã hội</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Hồ sơ đánh giá giáo viên.</w:t>
            </w:r>
          </w:p>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 Hồ sơ đánh giá đoàn viên của chi đoàn giáo viên,</w:t>
            </w:r>
          </w:p>
        </w:tc>
      </w:tr>
      <w:tr>
        <w:trPr>
          <w:cantSplit w:val="0"/>
          <w:tblHeader w:val="0"/>
        </w:trPr>
        <w:tc>
          <w:tcPr>
            <w:gridSpan w:val="7"/>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0000"/>
                <w:sz w:val="28"/>
                <w:szCs w:val="28"/>
                <w:u w:val="none"/>
                <w:shd w:fill="auto" w:val="clear"/>
                <w:vertAlign w:val="baseline"/>
                <w:rtl w:val="0"/>
              </w:rPr>
              <w:t xml:space="preserve">Tiêu chuẩn 6: Năng lực phát triển nghề nghiệp</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Tự đánh giá, tự học và tự rèn luyện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MC1. Hồ sơ bồi dưỡng tự bồi dưỡng</w:t>
            </w:r>
          </w:p>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MC4. Hồ sơ đánh giá giáo viên của nhà trường</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25</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Phát hiện và giải quyết vấn đề nảy sinh trong thực tiễn giáo dục</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tcPr>
          <w:p w:rsidR="00000000" w:rsidDel="00000000" w:rsidP="00000000" w:rsidRDefault="00000000" w:rsidRPr="00000000" w14:paraId="000001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bookmarkStart w:colFirst="0" w:colLast="0" w:name="_heading=h.1kfrzefxth35" w:id="0"/>
            <w:bookmarkEnd w:id="0"/>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MCK. Sổ tích lũy kinh nghiệm , biên bản họp tổ , các chuyên đề phụ đạo học sinh yếu kém</w:t>
            </w:r>
          </w:p>
        </w:tc>
      </w:tr>
    </w:tbl>
    <w:p w:rsidR="00000000" w:rsidDel="00000000" w:rsidP="00000000" w:rsidRDefault="00000000" w:rsidRPr="00000000" w14:paraId="0000011E">
      <w:pPr>
        <w:rPr>
          <w:sz w:val="28"/>
          <w:szCs w:val="28"/>
        </w:rPr>
      </w:pPr>
      <w:r w:rsidDel="00000000" w:rsidR="00000000" w:rsidRPr="00000000">
        <w:rPr>
          <w:rtl w:val="0"/>
        </w:rPr>
      </w:r>
    </w:p>
    <w:sectPr>
      <w:headerReference r:id="rId7" w:type="default"/>
      <w:headerReference r:id="rId8" w:type="even"/>
      <w:pgSz w:h="15819" w:w="12247" w:orient="portrait"/>
      <w:pgMar w:bottom="1440" w:top="1440" w:left="1797" w:right="179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SimSun"/>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F">
    <w:pPr>
      <w:spacing w:line="14.399999999999999"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0">
    <w:pPr>
      <w:spacing w:line="14.399999999999999"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e75b5"/>
      <w:sz w:val="26"/>
      <w:szCs w:val="26"/>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pPr>
    <w:rPr>
      <w:rFonts w:ascii="SimSun" w:cs="SimSun" w:eastAsia="SimSun" w:hAnsi="SimSun"/>
      <w:b w:val="1"/>
      <w:bCs w:val="1"/>
      <w:i w:val="0"/>
      <w:iCs w:val="0"/>
      <w:smallCaps w:val="0"/>
      <w:strike w:val="0"/>
      <w:color w:val="000000"/>
      <w:sz w:val="27"/>
      <w:szCs w:val="27"/>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0GqmS8tZaJmKqA5nD98ip4WN2g==">CgMxLjAyDmguMWtmcnplZnh0aDM1OAByITFYOUdUMFoxMU83VHhGdDE4VHNidDVaRWRXQVFpNDYzOQ==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